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0F9A5">
      <w:pPr>
        <w:widowControl w:val="0"/>
        <w:spacing w:after="0" w:line="576" w:lineRule="exact"/>
        <w:ind w:left="0" w:leftChars="0" w:firstLine="0" w:firstLineChars="0"/>
        <w:jc w:val="both"/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附件2</w:t>
      </w:r>
    </w:p>
    <w:tbl>
      <w:tblPr>
        <w:tblStyle w:val="3"/>
        <w:tblW w:w="86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2675"/>
        <w:gridCol w:w="3950"/>
        <w:gridCol w:w="1218"/>
      </w:tblGrid>
      <w:tr w14:paraId="26F32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605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top"/>
          </w:tcPr>
          <w:p w14:paraId="6BE415F4">
            <w:pPr>
              <w:widowControl w:val="0"/>
              <w:spacing w:after="120" w:line="6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32"/>
                <w:szCs w:val="32"/>
                <w:lang w:val="en-US" w:eastAsia="zh-CN" w:bidi="ar-SA"/>
              </w:rPr>
              <w:t>南充市红十字中心血站</w:t>
            </w: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  <w:lang w:val="en-US" w:eastAsia="zh-CN" w:bidi="ar-SA"/>
              </w:rPr>
              <w:t>采购代理机构资格审查表</w:t>
            </w:r>
          </w:p>
        </w:tc>
      </w:tr>
      <w:tr w14:paraId="4C541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A6AA3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5A9E8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审查内容</w:t>
            </w:r>
          </w:p>
        </w:tc>
        <w:tc>
          <w:tcPr>
            <w:tcW w:w="3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F143F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审查标准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6E393D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是否</w:t>
            </w:r>
          </w:p>
          <w:p w14:paraId="2C050B63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符合要求</w:t>
            </w:r>
          </w:p>
        </w:tc>
      </w:tr>
      <w:tr w14:paraId="47DFE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62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309AD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1</w:t>
            </w: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8EE4D6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代理机构名称</w:t>
            </w:r>
          </w:p>
        </w:tc>
        <w:tc>
          <w:tcPr>
            <w:tcW w:w="39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A46FD42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与报名、营业执照一致（符合法定工商变更程序除外）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B4B4A6B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3B35211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43CDF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noWrap w:val="0"/>
            <w:vAlign w:val="center"/>
          </w:tcPr>
          <w:p w14:paraId="3A67D72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</w:t>
            </w:r>
          </w:p>
        </w:tc>
        <w:tc>
          <w:tcPr>
            <w:tcW w:w="2675" w:type="dxa"/>
            <w:noWrap w:val="0"/>
            <w:vAlign w:val="center"/>
          </w:tcPr>
          <w:p w14:paraId="71B9290D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具有独立承担</w:t>
            </w:r>
          </w:p>
          <w:p w14:paraId="22E2C58B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民事责任的能力</w:t>
            </w:r>
          </w:p>
        </w:tc>
        <w:tc>
          <w:tcPr>
            <w:tcW w:w="3950" w:type="dxa"/>
            <w:noWrap w:val="0"/>
            <w:vAlign w:val="top"/>
          </w:tcPr>
          <w:p w14:paraId="1419E078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提供了有效的法人或者其他组织的营业执照等证明文件（复印件加盖公章）</w:t>
            </w:r>
          </w:p>
        </w:tc>
        <w:tc>
          <w:tcPr>
            <w:tcW w:w="1218" w:type="dxa"/>
            <w:noWrap w:val="0"/>
            <w:vAlign w:val="center"/>
          </w:tcPr>
          <w:p w14:paraId="049D8C10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0CDFEA3F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06920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62" w:type="dxa"/>
            <w:noWrap w:val="0"/>
            <w:vAlign w:val="center"/>
          </w:tcPr>
          <w:p w14:paraId="4074091F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3</w:t>
            </w:r>
          </w:p>
        </w:tc>
        <w:tc>
          <w:tcPr>
            <w:tcW w:w="2675" w:type="dxa"/>
            <w:noWrap w:val="0"/>
            <w:vAlign w:val="center"/>
          </w:tcPr>
          <w:p w14:paraId="231B5A51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具有健全的财务会计制度</w:t>
            </w:r>
          </w:p>
        </w:tc>
        <w:tc>
          <w:tcPr>
            <w:tcW w:w="3950" w:type="dxa"/>
            <w:noWrap w:val="0"/>
            <w:vAlign w:val="top"/>
          </w:tcPr>
          <w:p w14:paraId="2C64B29A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提供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2024年度经审计的财务报表。</w:t>
            </w:r>
          </w:p>
        </w:tc>
        <w:tc>
          <w:tcPr>
            <w:tcW w:w="1218" w:type="dxa"/>
            <w:noWrap w:val="0"/>
            <w:vAlign w:val="center"/>
          </w:tcPr>
          <w:p w14:paraId="2662823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6F7FAF61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38F9F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noWrap w:val="0"/>
            <w:vAlign w:val="center"/>
          </w:tcPr>
          <w:p w14:paraId="08AD9D9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4</w:t>
            </w:r>
          </w:p>
        </w:tc>
        <w:tc>
          <w:tcPr>
            <w:tcW w:w="2675" w:type="dxa"/>
            <w:noWrap w:val="0"/>
            <w:vAlign w:val="center"/>
          </w:tcPr>
          <w:p w14:paraId="24B4923D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有依法缴纳税收和社会保障资金的良好记录</w:t>
            </w:r>
          </w:p>
        </w:tc>
        <w:tc>
          <w:tcPr>
            <w:tcW w:w="3950" w:type="dxa"/>
            <w:noWrap w:val="0"/>
            <w:vAlign w:val="top"/>
          </w:tcPr>
          <w:p w14:paraId="6EAA7A0D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1.提供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2025年度连续3个月的</w:t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缴纳税收的记录。</w:t>
            </w:r>
          </w:p>
          <w:p w14:paraId="0A65D1FD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2. 提供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2025年度连续3个月的</w:t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缴纳社会保障资金的记录。</w:t>
            </w:r>
          </w:p>
        </w:tc>
        <w:tc>
          <w:tcPr>
            <w:tcW w:w="1218" w:type="dxa"/>
            <w:noWrap w:val="0"/>
            <w:vAlign w:val="center"/>
          </w:tcPr>
          <w:p w14:paraId="3E0DE4A1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76A12AC5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03464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762" w:type="dxa"/>
            <w:noWrap w:val="0"/>
            <w:vAlign w:val="center"/>
          </w:tcPr>
          <w:p w14:paraId="6D060DBA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5</w:t>
            </w:r>
          </w:p>
        </w:tc>
        <w:tc>
          <w:tcPr>
            <w:tcW w:w="2675" w:type="dxa"/>
            <w:noWrap w:val="0"/>
            <w:vAlign w:val="center"/>
          </w:tcPr>
          <w:p w14:paraId="150FD8BF">
            <w:pPr>
              <w:widowControl w:val="0"/>
              <w:wordWrap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“信用中国”网站和中国政府采购网（www.ccgp.gov.cn）查询记录</w:t>
            </w:r>
          </w:p>
        </w:tc>
        <w:tc>
          <w:tcPr>
            <w:tcW w:w="3950" w:type="dxa"/>
            <w:noWrap w:val="0"/>
            <w:vAlign w:val="top"/>
          </w:tcPr>
          <w:p w14:paraId="2EF00596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代理机构未被“信用中国”网站（www.creditchina.gov.cn）列入失信被执行人和/或重大税收违法案件当事人名单、未被中国政府采购网（www.ccgp.gov.cn）列入政府采购严重违法失信行为记录名单（以当日查询内容为准）</w:t>
            </w:r>
          </w:p>
        </w:tc>
        <w:tc>
          <w:tcPr>
            <w:tcW w:w="1218" w:type="dxa"/>
            <w:noWrap w:val="0"/>
            <w:vAlign w:val="center"/>
          </w:tcPr>
          <w:p w14:paraId="094F86BF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654507AE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01FD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2" w:type="dxa"/>
            <w:noWrap w:val="0"/>
            <w:vAlign w:val="center"/>
          </w:tcPr>
          <w:p w14:paraId="76063B04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6</w:t>
            </w:r>
          </w:p>
        </w:tc>
        <w:tc>
          <w:tcPr>
            <w:tcW w:w="2675" w:type="dxa"/>
            <w:noWrap w:val="0"/>
            <w:vAlign w:val="center"/>
          </w:tcPr>
          <w:p w14:paraId="3053D044">
            <w:pPr>
              <w:widowControl w:val="0"/>
              <w:wordWrap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工作态度</w:t>
            </w:r>
          </w:p>
        </w:tc>
        <w:tc>
          <w:tcPr>
            <w:tcW w:w="3950" w:type="dxa"/>
            <w:noWrap w:val="0"/>
            <w:vAlign w:val="top"/>
          </w:tcPr>
          <w:p w14:paraId="28F6C287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实际代理过程中，在依法依规的前提下，积极配合采购人各项工作要求。提供承诺函，格式自拟。（如在工作中发现代理机构存在违法违规、违背承诺、虚假材料响应或工作消极等情况，采购人有权与其取消合作。）</w:t>
            </w:r>
          </w:p>
        </w:tc>
        <w:tc>
          <w:tcPr>
            <w:tcW w:w="1218" w:type="dxa"/>
            <w:noWrap w:val="0"/>
            <w:vAlign w:val="center"/>
          </w:tcPr>
          <w:p w14:paraId="6843A836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4F940377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19AB7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2" w:type="dxa"/>
            <w:noWrap w:val="0"/>
            <w:vAlign w:val="center"/>
          </w:tcPr>
          <w:p w14:paraId="09348953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7</w:t>
            </w:r>
          </w:p>
        </w:tc>
        <w:tc>
          <w:tcPr>
            <w:tcW w:w="2675" w:type="dxa"/>
            <w:noWrap w:val="0"/>
            <w:vAlign w:val="center"/>
          </w:tcPr>
          <w:p w14:paraId="4508C56B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特定资格条件</w:t>
            </w:r>
          </w:p>
        </w:tc>
        <w:tc>
          <w:tcPr>
            <w:tcW w:w="3950" w:type="dxa"/>
            <w:noWrap w:val="0"/>
            <w:vAlign w:val="top"/>
          </w:tcPr>
          <w:p w14:paraId="07857DD7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提供中国政府采购网、四川省政府采购网、四川省建筑市场监管公共服务平台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登记备案证明材料。</w:t>
            </w:r>
          </w:p>
        </w:tc>
        <w:tc>
          <w:tcPr>
            <w:tcW w:w="1218" w:type="dxa"/>
            <w:noWrap w:val="0"/>
            <w:vAlign w:val="center"/>
          </w:tcPr>
          <w:p w14:paraId="40109BEB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725CF2A0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5FB0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62" w:type="dxa"/>
            <w:noWrap w:val="0"/>
            <w:vAlign w:val="center"/>
          </w:tcPr>
          <w:p w14:paraId="51594D79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8</w:t>
            </w:r>
          </w:p>
        </w:tc>
        <w:tc>
          <w:tcPr>
            <w:tcW w:w="2675" w:type="dxa"/>
            <w:noWrap w:val="0"/>
            <w:vAlign w:val="center"/>
          </w:tcPr>
          <w:p w14:paraId="258C1BB2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其他条件</w:t>
            </w:r>
          </w:p>
        </w:tc>
        <w:tc>
          <w:tcPr>
            <w:tcW w:w="3950" w:type="dxa"/>
            <w:noWrap w:val="0"/>
            <w:vAlign w:val="top"/>
          </w:tcPr>
          <w:p w14:paraId="044C9AE0">
            <w:pPr>
              <w:widowControl w:val="0"/>
              <w:spacing w:after="120" w:line="300" w:lineRule="exact"/>
              <w:ind w:firstLine="0"/>
              <w:jc w:val="both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代理机构未处于被禁止代理政府采购业务的行政处罚期内。</w:t>
            </w:r>
            <w:r>
              <w:rPr>
                <w:rFonts w:hint="eastAsia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（提供承诺函，格式自拟。）</w:t>
            </w:r>
          </w:p>
        </w:tc>
        <w:tc>
          <w:tcPr>
            <w:tcW w:w="1218" w:type="dxa"/>
            <w:noWrap w:val="0"/>
            <w:vAlign w:val="center"/>
          </w:tcPr>
          <w:p w14:paraId="35CFCF81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符合</w:t>
            </w:r>
          </w:p>
          <w:p w14:paraId="75D5C102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0"/>
                <w:szCs w:val="22"/>
                <w:lang w:val="en-US" w:eastAsia="zh-CN" w:bidi="ar-SA"/>
              </w:rPr>
              <w:t>不符合</w:t>
            </w:r>
          </w:p>
        </w:tc>
      </w:tr>
      <w:tr w14:paraId="67AF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37" w:type="dxa"/>
            <w:gridSpan w:val="2"/>
            <w:noWrap w:val="0"/>
            <w:vAlign w:val="center"/>
          </w:tcPr>
          <w:p w14:paraId="39051D5C">
            <w:pPr>
              <w:widowControl w:val="0"/>
              <w:spacing w:after="120" w:line="300" w:lineRule="exact"/>
              <w:ind w:firstLine="0"/>
              <w:jc w:val="center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>结论</w:t>
            </w:r>
          </w:p>
        </w:tc>
        <w:tc>
          <w:tcPr>
            <w:tcW w:w="5168" w:type="dxa"/>
            <w:gridSpan w:val="2"/>
            <w:noWrap w:val="0"/>
            <w:vAlign w:val="top"/>
          </w:tcPr>
          <w:p w14:paraId="2C0525B6">
            <w:pPr>
              <w:widowControl w:val="0"/>
              <w:spacing w:after="120" w:line="300" w:lineRule="exact"/>
              <w:ind w:firstLine="1050" w:firstLineChars="500"/>
              <w:jc w:val="left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 xml:space="preserve">通过      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sym w:font="Wingdings" w:char="00A8"/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  <w:t xml:space="preserve">不通过   </w:t>
            </w:r>
          </w:p>
        </w:tc>
      </w:tr>
      <w:tr w14:paraId="731C6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605" w:type="dxa"/>
            <w:gridSpan w:val="4"/>
            <w:noWrap w:val="0"/>
            <w:vAlign w:val="center"/>
          </w:tcPr>
          <w:p w14:paraId="28509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1"/>
                <w:szCs w:val="24"/>
                <w:lang w:val="en-US" w:eastAsia="zh-CN" w:bidi="ar-SA"/>
              </w:rPr>
              <w:t>注：1.是否符合要求请在每项要求最后一列中如实对应勾选；</w:t>
            </w:r>
          </w:p>
          <w:p w14:paraId="41F7E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21"/>
                <w:szCs w:val="24"/>
                <w:lang w:val="en-US" w:eastAsia="zh-CN" w:bidi="ar-SA"/>
              </w:rPr>
              <w:t>2.有一项不符合要求，结论为不通过。</w:t>
            </w:r>
          </w:p>
        </w:tc>
      </w:tr>
    </w:tbl>
    <w:p w14:paraId="2D304E9A">
      <w:pPr>
        <w:pStyle w:val="2"/>
      </w:pPr>
    </w:p>
    <w:p w14:paraId="1ACDFF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8771C"/>
    <w:rsid w:val="1EB8771C"/>
    <w:rsid w:val="20593C58"/>
    <w:rsid w:val="3CB12907"/>
    <w:rsid w:val="3D4D412D"/>
    <w:rsid w:val="3ECC70D1"/>
    <w:rsid w:val="41F127EB"/>
    <w:rsid w:val="42423DFA"/>
    <w:rsid w:val="45F7770E"/>
    <w:rsid w:val="5EDE5B2B"/>
    <w:rsid w:val="68A253EF"/>
    <w:rsid w:val="799C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体"/>
      <w:kern w:val="0"/>
      <w:sz w:val="32"/>
      <w:szCs w:val="32"/>
    </w:rPr>
  </w:style>
  <w:style w:type="paragraph" w:customStyle="1" w:styleId="5">
    <w:name w:val="正文小"/>
    <w:basedOn w:val="1"/>
    <w:qFormat/>
    <w:uiPriority w:val="0"/>
    <w:pPr>
      <w:spacing w:line="540" w:lineRule="exact"/>
      <w:ind w:left="0" w:firstLine="420" w:firstLineChars="200"/>
    </w:pPr>
    <w:rPr>
      <w:rFonts w:hint="eastAsia" w:ascii="方正仿宋_GBK" w:hAnsi="方正仿宋_GBK" w:eastAsia="方正仿宋_GBK" w:cs="方正仿宋_GBK"/>
      <w:snapToGrid w:val="0"/>
      <w:color w:val="000000"/>
      <w:spacing w:val="5"/>
      <w:kern w:val="0"/>
      <w:sz w:val="30"/>
      <w:szCs w:val="30"/>
      <w:lang w:eastAsia="en-US"/>
    </w:rPr>
  </w:style>
  <w:style w:type="paragraph" w:customStyle="1" w:styleId="6">
    <w:name w:val="正文小1"/>
    <w:basedOn w:val="1"/>
    <w:qFormat/>
    <w:uiPriority w:val="0"/>
    <w:pPr>
      <w:widowControl/>
      <w:spacing w:line="540" w:lineRule="exact"/>
      <w:ind w:firstLine="780" w:firstLineChars="200"/>
    </w:pPr>
    <w:rPr>
      <w:rFonts w:hint="eastAsia" w:ascii="宋体" w:hAnsi="宋体" w:eastAsia="方正仿宋_GBK" w:cs="宋体"/>
      <w:color w:val="020202"/>
      <w:kern w:val="0"/>
      <w:sz w:val="30"/>
      <w:shd w:val="clear" w:color="auto" w:fill="FFFFFF"/>
      <w:lang w:bidi="ar"/>
    </w:rPr>
  </w:style>
  <w:style w:type="paragraph" w:customStyle="1" w:styleId="7">
    <w:name w:val="正文22"/>
    <w:basedOn w:val="1"/>
    <w:link w:val="8"/>
    <w:qFormat/>
    <w:uiPriority w:val="0"/>
    <w:pPr>
      <w:kinsoku/>
      <w:spacing w:line="540" w:lineRule="exact"/>
      <w:ind w:left="0" w:right="0" w:firstLine="420" w:firstLineChars="200"/>
      <w:jc w:val="both"/>
    </w:pPr>
    <w:rPr>
      <w:rFonts w:ascii="方正仿宋_GBK" w:hAnsi="方正仿宋_GBK" w:eastAsia="方正仿宋_GBK" w:cs="方正仿宋_GBK"/>
      <w:b/>
      <w:bCs/>
      <w:snapToGrid w:val="0"/>
      <w:color w:val="000000"/>
      <w:kern w:val="0"/>
      <w:sz w:val="30"/>
      <w:szCs w:val="32"/>
      <w:lang w:eastAsia="en-US"/>
    </w:rPr>
  </w:style>
  <w:style w:type="character" w:customStyle="1" w:styleId="8">
    <w:name w:val="正文22 Char"/>
    <w:link w:val="7"/>
    <w:qFormat/>
    <w:uiPriority w:val="0"/>
    <w:rPr>
      <w:rFonts w:ascii="方正仿宋_GBK" w:hAnsi="方正仿宋_GBK" w:eastAsia="方正仿宋_GBK" w:cs="方正仿宋_GBK"/>
      <w:b/>
      <w:bCs/>
      <w:snapToGrid w:val="0"/>
      <w:color w:val="000000"/>
      <w:spacing w:val="0"/>
      <w:kern w:val="0"/>
      <w:sz w:val="30"/>
      <w:szCs w:val="32"/>
      <w:lang w:eastAsia="en-US"/>
    </w:rPr>
  </w:style>
  <w:style w:type="paragraph" w:customStyle="1" w:styleId="9">
    <w:name w:val="新2"/>
    <w:basedOn w:val="1"/>
    <w:qFormat/>
    <w:uiPriority w:val="0"/>
    <w:pPr>
      <w:kinsoku/>
      <w:spacing w:line="540" w:lineRule="exact"/>
      <w:ind w:left="0" w:right="0" w:firstLine="420" w:firstLineChars="200"/>
      <w:jc w:val="both"/>
    </w:pPr>
    <w:rPr>
      <w:rFonts w:hint="eastAsia" w:ascii="方正仿宋_GBK" w:hAnsi="方正仿宋_GBK" w:eastAsia="方正仿宋_GBK" w:cs="方正仿宋_GBK"/>
      <w:b/>
      <w:bCs/>
      <w:snapToGrid w:val="0"/>
      <w:color w:val="000000"/>
      <w:kern w:val="0"/>
      <w:sz w:val="30"/>
      <w:szCs w:val="30"/>
      <w:lang w:eastAsia="en-US"/>
    </w:rPr>
  </w:style>
  <w:style w:type="paragraph" w:customStyle="1" w:styleId="10">
    <w:name w:val="正文文"/>
    <w:basedOn w:val="1"/>
    <w:qFormat/>
    <w:uiPriority w:val="0"/>
    <w:pPr>
      <w:kinsoku/>
      <w:spacing w:line="540" w:lineRule="exact"/>
      <w:ind w:left="0" w:right="0" w:firstLine="420" w:firstLineChars="200"/>
      <w:jc w:val="both"/>
    </w:pPr>
    <w:rPr>
      <w:rFonts w:hint="eastAsia" w:ascii="方正仿宋_GBK" w:hAnsi="方正仿宋_GBK" w:eastAsia="方正仿宋_GBK" w:cs="方正仿宋_GBK"/>
      <w:b/>
      <w:bCs/>
      <w:snapToGrid w:val="0"/>
      <w:color w:val="000000"/>
      <w:spacing w:val="0"/>
      <w:kern w:val="0"/>
      <w:sz w:val="30"/>
      <w:szCs w:val="30"/>
      <w:lang w:eastAsia="en-US"/>
    </w:rPr>
  </w:style>
  <w:style w:type="paragraph" w:customStyle="1" w:styleId="11">
    <w:name w:val="表格·1"/>
    <w:basedOn w:val="1"/>
    <w:qFormat/>
    <w:uiPriority w:val="0"/>
    <w:pPr>
      <w:spacing w:line="300" w:lineRule="exact"/>
      <w:ind w:left="63" w:leftChars="30" w:right="63" w:rightChars="30" w:firstLine="0"/>
      <w:jc w:val="center"/>
    </w:pPr>
    <w:rPr>
      <w:rFonts w:hint="eastAsia" w:ascii="方正仿宋_GBK" w:hAnsi="方正仿宋_GBK" w:eastAsia="方正仿宋_GBK" w:cs="方正仿宋_GBK"/>
      <w:b/>
      <w:bCs/>
      <w:snapToGrid w:val="0"/>
      <w:color w:val="000000"/>
      <w:spacing w:val="-6"/>
      <w:w w:val="99"/>
      <w:kern w:val="0"/>
      <w:sz w:val="24"/>
      <w:szCs w:val="24"/>
      <w:lang w:eastAsia="en-US"/>
    </w:rPr>
  </w:style>
  <w:style w:type="paragraph" w:customStyle="1" w:styleId="12">
    <w:name w:val="正文样式"/>
    <w:basedOn w:val="1"/>
    <w:link w:val="13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overflowPunct w:val="0"/>
      <w:snapToGrid w:val="0"/>
      <w:spacing w:line="590" w:lineRule="exact"/>
      <w:jc w:val="both"/>
    </w:pPr>
    <w:rPr>
      <w:rFonts w:ascii="Times New Roman" w:hAnsi="Times New Roman" w:eastAsia="方正仿宋_GBK" w:cs="方正仿宋_GBK"/>
      <w:b/>
      <w:color w:val="000000"/>
      <w:kern w:val="0"/>
      <w:sz w:val="32"/>
      <w:szCs w:val="30"/>
    </w:rPr>
  </w:style>
  <w:style w:type="character" w:customStyle="1" w:styleId="13">
    <w:name w:val="正文样式 Char"/>
    <w:link w:val="12"/>
    <w:qFormat/>
    <w:uiPriority w:val="0"/>
    <w:rPr>
      <w:rFonts w:ascii="Times New Roman" w:hAnsi="Times New Roman" w:eastAsia="方正仿宋_GBK" w:cs="方正仿宋_GBK"/>
      <w:b/>
      <w:color w:val="000000"/>
      <w:kern w:val="0"/>
      <w:sz w:val="32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618</Words>
  <Characters>680</Characters>
  <Lines>0</Lines>
  <Paragraphs>0</Paragraphs>
  <TotalTime>0</TotalTime>
  <ScaleCrop>false</ScaleCrop>
  <LinksUpToDate>false</LinksUpToDate>
  <CharactersWithSpaces>691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2025-09-09T02:12:00Z</dcterms:created>
  <dc:creator>成河</dc:creator>
  <cp:lastModifiedBy>成河</cp:lastModifiedBy>
  <dcterms:modified xsi:type="dcterms:W3CDTF">2025-09-09T02:20:28Z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DA756D1E537341C58E15169B2C0BF7B1_13</vt:lpwstr>
  </property>
  <property fmtid="{D5CDD505-2E9C-101B-9397-08002B2CF9AE}" pid="4" name="KSOTemplateDocerSaveRecord">
    <vt:lpwstr>eyJoZGlkIjoiZDJiZTY4MWE2YTU0NzJkYThjN2EzNjk1OWI5NmExZWEiLCJ1c2VySWQiOiI5ODI3MTIzMjQifQ==</vt:lpwstr>
  </property>
</Properties>
</file>