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1D186">
      <w:pPr>
        <w:keepNext w:val="0"/>
        <w:keepLines w:val="0"/>
        <w:pageBreakBefore w:val="0"/>
        <w:widowControl w:val="0"/>
        <w:kinsoku/>
        <w:wordWrap/>
        <w:overflowPunct/>
        <w:topLinePunct w:val="0"/>
        <w:autoSpaceDE/>
        <w:autoSpaceDN/>
        <w:bidi w:val="0"/>
        <w:adjustRightInd/>
        <w:snapToGrid/>
        <w:spacing w:after="0" w:line="640" w:lineRule="exact"/>
        <w:ind w:left="0" w:leftChars="0" w:firstLine="0" w:firstLineChars="0"/>
        <w:jc w:val="center"/>
        <w:textAlignment w:val="auto"/>
        <w:rPr>
          <w:rFonts w:hint="default" w:ascii="Times New Roman" w:hAnsi="Times New Roman" w:eastAsia="方正小标宋_GBK" w:cs="Times New Roman"/>
          <w:kern w:val="2"/>
          <w:sz w:val="40"/>
          <w:szCs w:val="40"/>
          <w:lang w:val="en-US" w:eastAsia="zh-CN" w:bidi="ar-SA"/>
        </w:rPr>
      </w:pPr>
      <w:bookmarkStart w:id="0" w:name="_GoBack"/>
      <w:bookmarkEnd w:id="0"/>
      <w:r>
        <w:rPr>
          <w:rFonts w:hint="eastAsia" w:ascii="Times New Roman" w:hAnsi="Times New Roman" w:eastAsia="方正小标宋_GBK" w:cs="Times New Roman"/>
          <w:kern w:val="2"/>
          <w:sz w:val="40"/>
          <w:szCs w:val="40"/>
          <w:lang w:val="en-US" w:eastAsia="zh-CN" w:bidi="ar-SA"/>
        </w:rPr>
        <w:t>南充市红十字中心血站</w:t>
      </w:r>
      <w:r>
        <w:rPr>
          <w:rFonts w:hint="default" w:ascii="Times New Roman" w:hAnsi="Times New Roman" w:eastAsia="方正小标宋_GBK" w:cs="Times New Roman"/>
          <w:kern w:val="2"/>
          <w:sz w:val="40"/>
          <w:szCs w:val="40"/>
          <w:lang w:val="en-US" w:eastAsia="zh-CN" w:bidi="ar-SA"/>
        </w:rPr>
        <w:t>采购代理机构</w:t>
      </w:r>
      <w:r>
        <w:rPr>
          <w:rFonts w:hint="eastAsia" w:ascii="Times New Roman" w:hAnsi="Times New Roman" w:eastAsia="方正小标宋_GBK" w:cs="Times New Roman"/>
          <w:kern w:val="2"/>
          <w:sz w:val="40"/>
          <w:szCs w:val="40"/>
          <w:lang w:val="en-US" w:eastAsia="zh-CN" w:bidi="ar-SA"/>
        </w:rPr>
        <w:t>评分</w:t>
      </w:r>
      <w:r>
        <w:rPr>
          <w:rFonts w:hint="default" w:ascii="Times New Roman" w:hAnsi="Times New Roman" w:eastAsia="方正小标宋_GBK" w:cs="Times New Roman"/>
          <w:kern w:val="2"/>
          <w:sz w:val="40"/>
          <w:szCs w:val="40"/>
          <w:lang w:val="en-US" w:eastAsia="zh-CN" w:bidi="ar-SA"/>
        </w:rPr>
        <w:t>表</w:t>
      </w:r>
    </w:p>
    <w:p w14:paraId="219C3413">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lang w:val="en-US" w:eastAsia="zh-CN"/>
        </w:rPr>
      </w:pPr>
    </w:p>
    <w:tbl>
      <w:tblPr>
        <w:tblStyle w:val="4"/>
        <w:tblW w:w="8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68"/>
        <w:gridCol w:w="4202"/>
        <w:gridCol w:w="970"/>
        <w:gridCol w:w="1152"/>
        <w:gridCol w:w="810"/>
      </w:tblGrid>
      <w:tr w14:paraId="048B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48" w:type="dxa"/>
            <w:noWrap w:val="0"/>
            <w:vAlign w:val="center"/>
          </w:tcPr>
          <w:p w14:paraId="192FAF4B">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序号</w:t>
            </w:r>
          </w:p>
        </w:tc>
        <w:tc>
          <w:tcPr>
            <w:tcW w:w="968" w:type="dxa"/>
            <w:noWrap w:val="0"/>
            <w:vAlign w:val="center"/>
          </w:tcPr>
          <w:p w14:paraId="6E0EA143">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考评因素</w:t>
            </w:r>
          </w:p>
        </w:tc>
        <w:tc>
          <w:tcPr>
            <w:tcW w:w="4202" w:type="dxa"/>
            <w:noWrap w:val="0"/>
            <w:vAlign w:val="center"/>
          </w:tcPr>
          <w:p w14:paraId="35C197E0">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考评标准</w:t>
            </w:r>
          </w:p>
        </w:tc>
        <w:tc>
          <w:tcPr>
            <w:tcW w:w="970" w:type="dxa"/>
            <w:noWrap w:val="0"/>
            <w:vAlign w:val="center"/>
          </w:tcPr>
          <w:p w14:paraId="3A36758B">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考查方式</w:t>
            </w:r>
          </w:p>
        </w:tc>
        <w:tc>
          <w:tcPr>
            <w:tcW w:w="1152" w:type="dxa"/>
            <w:noWrap w:val="0"/>
            <w:vAlign w:val="center"/>
          </w:tcPr>
          <w:p w14:paraId="79ED4282">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分值</w:t>
            </w:r>
            <w:r>
              <w:rPr>
                <w:rFonts w:hint="eastAsia" w:ascii="Times New Roman" w:hAnsi="Times New Roman" w:eastAsia="方正仿宋_GBK" w:cs="Times New Roman"/>
                <w:b/>
                <w:bCs/>
                <w:color w:val="auto"/>
                <w:kern w:val="2"/>
                <w:sz w:val="18"/>
                <w:szCs w:val="18"/>
                <w:lang w:val="en-US" w:eastAsia="zh-CN" w:bidi="ar-SA"/>
              </w:rPr>
              <w:t>（共</w:t>
            </w:r>
          </w:p>
          <w:p w14:paraId="210D34F7">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方正仿宋_GBK" w:cs="Times New Roman"/>
                <w:b/>
                <w:bCs/>
                <w:color w:val="auto"/>
                <w:kern w:val="2"/>
                <w:sz w:val="18"/>
                <w:szCs w:val="18"/>
                <w:lang w:val="en-US" w:eastAsia="zh-CN" w:bidi="ar-SA"/>
              </w:rPr>
            </w:pPr>
            <w:r>
              <w:rPr>
                <w:rFonts w:hint="eastAsia" w:ascii="Times New Roman" w:hAnsi="Times New Roman" w:eastAsia="方正仿宋_GBK" w:cs="Times New Roman"/>
                <w:b/>
                <w:bCs/>
                <w:color w:val="auto"/>
                <w:kern w:val="2"/>
                <w:sz w:val="18"/>
                <w:szCs w:val="18"/>
                <w:lang w:val="en-US" w:eastAsia="zh-CN" w:bidi="ar-SA"/>
              </w:rPr>
              <w:t>100分）</w:t>
            </w:r>
          </w:p>
        </w:tc>
        <w:tc>
          <w:tcPr>
            <w:tcW w:w="810" w:type="dxa"/>
            <w:noWrap w:val="0"/>
            <w:vAlign w:val="center"/>
          </w:tcPr>
          <w:p w14:paraId="0B8D1F1F">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得分</w:t>
            </w:r>
          </w:p>
        </w:tc>
      </w:tr>
      <w:tr w14:paraId="36F51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4DC7030D">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w:t>
            </w:r>
          </w:p>
        </w:tc>
        <w:tc>
          <w:tcPr>
            <w:tcW w:w="968" w:type="dxa"/>
            <w:noWrap w:val="0"/>
            <w:vAlign w:val="center"/>
          </w:tcPr>
          <w:p w14:paraId="3C251B35">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办公场所</w:t>
            </w:r>
          </w:p>
        </w:tc>
        <w:tc>
          <w:tcPr>
            <w:tcW w:w="4202" w:type="dxa"/>
            <w:noWrap w:val="0"/>
            <w:vAlign w:val="top"/>
          </w:tcPr>
          <w:p w14:paraId="4E4B6281">
            <w:pPr>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left"/>
              <w:textAlignment w:val="auto"/>
              <w:rPr>
                <w:rFonts w:hint="eastAsia"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具备独立的办公场所，得</w:t>
            </w:r>
            <w:r>
              <w:rPr>
                <w:rFonts w:hint="eastAsia" w:ascii="Times New Roman" w:hAnsi="Times New Roman" w:eastAsia="方正仿宋_GBK" w:cs="Times New Roman"/>
                <w:color w:val="auto"/>
                <w:kern w:val="2"/>
                <w:sz w:val="18"/>
                <w:szCs w:val="18"/>
                <w:lang w:val="en-US" w:eastAsia="zh-CN" w:bidi="ar-SA"/>
              </w:rPr>
              <w:t>5</w:t>
            </w:r>
            <w:r>
              <w:rPr>
                <w:rFonts w:hint="default" w:ascii="Times New Roman" w:hAnsi="Times New Roman" w:eastAsia="方正仿宋_GBK" w:cs="Times New Roman"/>
                <w:color w:val="auto"/>
                <w:kern w:val="2"/>
                <w:sz w:val="18"/>
                <w:szCs w:val="18"/>
                <w:lang w:val="en-US" w:eastAsia="zh-CN" w:bidi="ar-SA"/>
              </w:rPr>
              <w:t>分。提供租赁合同或房产证等复印件，办公场所图片（至少包含开标室、评标室、监控室、档案室、办公区域等区域照片，不得少于5张），不提供不得分</w:t>
            </w:r>
            <w:r>
              <w:rPr>
                <w:rFonts w:hint="eastAsia" w:ascii="Times New Roman" w:hAnsi="Times New Roman" w:eastAsia="方正仿宋_GBK" w:cs="Times New Roman"/>
                <w:color w:val="auto"/>
                <w:kern w:val="2"/>
                <w:sz w:val="18"/>
                <w:szCs w:val="18"/>
                <w:lang w:val="en-US" w:eastAsia="zh-CN" w:bidi="ar-SA"/>
              </w:rPr>
              <w:t>；</w:t>
            </w:r>
          </w:p>
          <w:p w14:paraId="629FD2C4">
            <w:pPr>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代理机构办公场所具有200㎡—300㎡的得1分，301㎡—至400㎡得2分，401㎡—500㎡得3分，500㎡以上的得5分。200㎡以下不得分。本项最高得5分。（提供房产自有或租赁合同，房产或合同须体现房屋面积）</w:t>
            </w:r>
          </w:p>
        </w:tc>
        <w:tc>
          <w:tcPr>
            <w:tcW w:w="970" w:type="dxa"/>
            <w:noWrap w:val="0"/>
            <w:vAlign w:val="center"/>
          </w:tcPr>
          <w:p w14:paraId="7919036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2EF185DF">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10</w:t>
            </w:r>
          </w:p>
        </w:tc>
        <w:tc>
          <w:tcPr>
            <w:tcW w:w="810" w:type="dxa"/>
            <w:noWrap w:val="0"/>
            <w:vAlign w:val="top"/>
          </w:tcPr>
          <w:p w14:paraId="7424BD5C">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4D63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noWrap w:val="0"/>
            <w:vAlign w:val="center"/>
          </w:tcPr>
          <w:p w14:paraId="7013A866">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2</w:t>
            </w:r>
          </w:p>
        </w:tc>
        <w:tc>
          <w:tcPr>
            <w:tcW w:w="968" w:type="dxa"/>
            <w:noWrap w:val="0"/>
            <w:vAlign w:val="center"/>
          </w:tcPr>
          <w:p w14:paraId="2BDDB888">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经营年限</w:t>
            </w:r>
          </w:p>
        </w:tc>
        <w:tc>
          <w:tcPr>
            <w:tcW w:w="4202" w:type="dxa"/>
            <w:noWrap w:val="0"/>
            <w:vAlign w:val="top"/>
          </w:tcPr>
          <w:p w14:paraId="0236819C">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eastAsia" w:ascii="Times New Roman" w:hAnsi="Times New Roman" w:eastAsia="方正仿宋_GBK" w:cs="Times New Roman"/>
                <w:color w:val="auto"/>
                <w:kern w:val="2"/>
                <w:sz w:val="18"/>
                <w:szCs w:val="18"/>
                <w:highlight w:val="none"/>
                <w:lang w:val="en-US" w:eastAsia="zh-CN" w:bidi="ar-SA"/>
              </w:rPr>
              <w:t>经营年限为2</w:t>
            </w:r>
            <w:r>
              <w:rPr>
                <w:rFonts w:hint="default" w:ascii="Times New Roman" w:hAnsi="Times New Roman" w:eastAsia="方正仿宋_GBK" w:cs="Times New Roman"/>
                <w:color w:val="auto"/>
                <w:kern w:val="2"/>
                <w:sz w:val="18"/>
                <w:szCs w:val="18"/>
                <w:highlight w:val="none"/>
                <w:lang w:val="en-US" w:eastAsia="zh-CN" w:bidi="ar-SA"/>
              </w:rPr>
              <w:t>年-</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年</w:t>
            </w:r>
            <w:r>
              <w:rPr>
                <w:rFonts w:hint="eastAsia" w:ascii="Times New Roman" w:hAnsi="Times New Roman" w:eastAsia="方正仿宋_GBK" w:cs="Times New Roman"/>
                <w:color w:val="auto"/>
                <w:kern w:val="2"/>
                <w:sz w:val="18"/>
                <w:szCs w:val="18"/>
                <w:highlight w:val="none"/>
                <w:lang w:val="en-US" w:eastAsia="zh-CN" w:bidi="ar-SA"/>
              </w:rPr>
              <w:t>（含2年、不包含4年）</w:t>
            </w:r>
            <w:r>
              <w:rPr>
                <w:rFonts w:hint="default" w:ascii="Times New Roman" w:hAnsi="Times New Roman" w:eastAsia="方正仿宋_GBK" w:cs="Times New Roman"/>
                <w:color w:val="auto"/>
                <w:kern w:val="2"/>
                <w:sz w:val="18"/>
                <w:szCs w:val="18"/>
                <w:highlight w:val="none"/>
                <w:lang w:val="en-US" w:eastAsia="zh-CN" w:bidi="ar-SA"/>
              </w:rPr>
              <w:t>，得</w:t>
            </w:r>
            <w:r>
              <w:rPr>
                <w:rFonts w:hint="eastAsia" w:ascii="Times New Roman" w:hAnsi="Times New Roman" w:eastAsia="方正仿宋_GBK" w:cs="Times New Roman"/>
                <w:color w:val="auto"/>
                <w:kern w:val="2"/>
                <w:sz w:val="18"/>
                <w:szCs w:val="18"/>
                <w:highlight w:val="none"/>
                <w:lang w:val="en-US" w:eastAsia="zh-CN" w:bidi="ar-SA"/>
              </w:rPr>
              <w:t>3</w:t>
            </w:r>
            <w:r>
              <w:rPr>
                <w:rFonts w:hint="default" w:ascii="Times New Roman" w:hAnsi="Times New Roman" w:eastAsia="方正仿宋_GBK" w:cs="Times New Roman"/>
                <w:color w:val="auto"/>
                <w:kern w:val="2"/>
                <w:sz w:val="18"/>
                <w:szCs w:val="18"/>
                <w:highlight w:val="none"/>
                <w:lang w:val="en-US" w:eastAsia="zh-CN" w:bidi="ar-SA"/>
              </w:rPr>
              <w:t>分；</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年</w:t>
            </w:r>
            <w:r>
              <w:rPr>
                <w:rFonts w:hint="eastAsia" w:ascii="Times New Roman" w:hAnsi="Times New Roman" w:eastAsia="方正仿宋_GBK" w:cs="Times New Roman"/>
                <w:color w:val="auto"/>
                <w:kern w:val="2"/>
                <w:sz w:val="18"/>
                <w:szCs w:val="18"/>
                <w:highlight w:val="none"/>
                <w:lang w:val="en-US" w:eastAsia="zh-CN" w:bidi="ar-SA"/>
              </w:rPr>
              <w:t>（含4年）</w:t>
            </w:r>
            <w:r>
              <w:rPr>
                <w:rFonts w:hint="default" w:ascii="Times New Roman" w:hAnsi="Times New Roman" w:eastAsia="方正仿宋_GBK" w:cs="Times New Roman"/>
                <w:color w:val="auto"/>
                <w:kern w:val="2"/>
                <w:sz w:val="18"/>
                <w:szCs w:val="18"/>
                <w:highlight w:val="none"/>
                <w:lang w:val="en-US" w:eastAsia="zh-CN" w:bidi="ar-SA"/>
              </w:rPr>
              <w:t>及以上，得</w:t>
            </w:r>
            <w:r>
              <w:rPr>
                <w:rFonts w:hint="eastAsia" w:ascii="Times New Roman" w:hAnsi="Times New Roman" w:eastAsia="方正仿宋_GBK" w:cs="Times New Roman"/>
                <w:color w:val="auto"/>
                <w:kern w:val="2"/>
                <w:sz w:val="18"/>
                <w:szCs w:val="18"/>
                <w:highlight w:val="none"/>
                <w:lang w:val="en-US" w:eastAsia="zh-CN" w:bidi="ar-SA"/>
              </w:rPr>
              <w:t>5</w:t>
            </w:r>
            <w:r>
              <w:rPr>
                <w:rFonts w:hint="default" w:ascii="Times New Roman" w:hAnsi="Times New Roman" w:eastAsia="方正仿宋_GBK" w:cs="Times New Roman"/>
                <w:color w:val="auto"/>
                <w:kern w:val="2"/>
                <w:sz w:val="18"/>
                <w:szCs w:val="18"/>
                <w:highlight w:val="none"/>
                <w:lang w:val="en-US" w:eastAsia="zh-CN" w:bidi="ar-SA"/>
              </w:rPr>
              <w:t>分</w:t>
            </w:r>
            <w:r>
              <w:rPr>
                <w:rFonts w:hint="eastAsia" w:ascii="Times New Roman" w:hAnsi="Times New Roman" w:eastAsia="方正仿宋_GBK" w:cs="Times New Roman"/>
                <w:color w:val="auto"/>
                <w:kern w:val="2"/>
                <w:sz w:val="18"/>
                <w:szCs w:val="18"/>
                <w:highlight w:val="none"/>
                <w:lang w:val="en-US" w:eastAsia="zh-CN" w:bidi="ar-SA"/>
              </w:rPr>
              <w:t>，2年以下的，不得分</w:t>
            </w:r>
            <w:r>
              <w:rPr>
                <w:rFonts w:hint="default" w:ascii="Times New Roman" w:hAnsi="Times New Roman" w:eastAsia="方正仿宋_GBK" w:cs="Times New Roman"/>
                <w:color w:val="auto"/>
                <w:kern w:val="2"/>
                <w:sz w:val="18"/>
                <w:szCs w:val="18"/>
                <w:highlight w:val="none"/>
                <w:lang w:val="en-US" w:eastAsia="zh-CN" w:bidi="ar-SA"/>
              </w:rPr>
              <w:t>。提供营业执照复印件佐证材料，不提供不得分。（如产生营业执照变更等情况，需提供相关变更证明）</w:t>
            </w:r>
          </w:p>
        </w:tc>
        <w:tc>
          <w:tcPr>
            <w:tcW w:w="970" w:type="dxa"/>
            <w:noWrap w:val="0"/>
            <w:vAlign w:val="center"/>
          </w:tcPr>
          <w:p w14:paraId="1B102132">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5DF1EC3E">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5</w:t>
            </w:r>
          </w:p>
        </w:tc>
        <w:tc>
          <w:tcPr>
            <w:tcW w:w="810" w:type="dxa"/>
            <w:noWrap w:val="0"/>
            <w:vAlign w:val="top"/>
          </w:tcPr>
          <w:p w14:paraId="51EC6B36">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680C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1EE7A68">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3</w:t>
            </w:r>
          </w:p>
        </w:tc>
        <w:tc>
          <w:tcPr>
            <w:tcW w:w="968" w:type="dxa"/>
            <w:noWrap w:val="0"/>
            <w:vAlign w:val="center"/>
          </w:tcPr>
          <w:p w14:paraId="61C324D8">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业绩情况</w:t>
            </w:r>
          </w:p>
        </w:tc>
        <w:tc>
          <w:tcPr>
            <w:tcW w:w="4202" w:type="dxa"/>
            <w:noWrap w:val="0"/>
            <w:vAlign w:val="top"/>
          </w:tcPr>
          <w:p w14:paraId="31EB5713">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kern w:val="2"/>
                <w:sz w:val="18"/>
                <w:szCs w:val="18"/>
                <w:highlight w:val="none"/>
                <w:lang w:val="en-US" w:eastAsia="zh-CN" w:bidi="ar-SA"/>
              </w:rPr>
              <w:t>采购代理机构提供202</w:t>
            </w:r>
            <w:r>
              <w:rPr>
                <w:rFonts w:hint="eastAsia" w:ascii="Times New Roman" w:hAnsi="Times New Roman" w:eastAsia="方正仿宋_GBK" w:cs="Times New Roman"/>
                <w:color w:val="auto"/>
                <w:kern w:val="2"/>
                <w:sz w:val="18"/>
                <w:szCs w:val="18"/>
                <w:highlight w:val="none"/>
                <w:lang w:val="en-US" w:eastAsia="zh-CN" w:bidi="ar-SA"/>
              </w:rPr>
              <w:t>1</w:t>
            </w:r>
            <w:r>
              <w:rPr>
                <w:rFonts w:hint="default" w:ascii="Times New Roman" w:hAnsi="Times New Roman" w:eastAsia="方正仿宋_GBK" w:cs="Times New Roman"/>
                <w:color w:val="auto"/>
                <w:kern w:val="2"/>
                <w:sz w:val="18"/>
                <w:szCs w:val="18"/>
                <w:highlight w:val="none"/>
                <w:lang w:val="en-US" w:eastAsia="zh-CN" w:bidi="ar-SA"/>
              </w:rPr>
              <w:t>年1月至2024年12月的采购代理业绩中，每提供一个</w:t>
            </w:r>
            <w:r>
              <w:rPr>
                <w:rFonts w:hint="eastAsia" w:ascii="Times New Roman" w:hAnsi="Times New Roman" w:eastAsia="方正仿宋_GBK" w:cs="Times New Roman"/>
                <w:color w:val="auto"/>
                <w:kern w:val="2"/>
                <w:sz w:val="18"/>
                <w:szCs w:val="18"/>
                <w:highlight w:val="none"/>
                <w:lang w:val="en-US" w:eastAsia="zh-CN" w:bidi="ar-SA"/>
              </w:rPr>
              <w:t>政府采购代理业绩得0.5分，本项目最高得25分。</w:t>
            </w:r>
          </w:p>
          <w:p w14:paraId="1F4795A6">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kern w:val="2"/>
                <w:sz w:val="18"/>
                <w:szCs w:val="18"/>
                <w:highlight w:val="none"/>
                <w:lang w:val="en-US" w:eastAsia="zh-CN" w:bidi="ar-SA"/>
              </w:rPr>
              <w:t>提供证明材料为委托代理协议（复印件）和招标公告（</w:t>
            </w:r>
            <w:r>
              <w:rPr>
                <w:rFonts w:hint="eastAsia" w:ascii="Times New Roman" w:hAnsi="Times New Roman" w:eastAsia="方正仿宋_GBK" w:cs="Times New Roman"/>
                <w:color w:val="auto"/>
                <w:kern w:val="2"/>
                <w:sz w:val="18"/>
                <w:szCs w:val="18"/>
                <w:highlight w:val="none"/>
                <w:lang w:val="en-US" w:eastAsia="zh-CN" w:bidi="ar-SA"/>
              </w:rPr>
              <w:t>四川政府采购网</w:t>
            </w:r>
            <w:r>
              <w:rPr>
                <w:rFonts w:hint="default" w:ascii="Times New Roman" w:hAnsi="Times New Roman" w:eastAsia="方正仿宋_GBK" w:cs="Times New Roman"/>
                <w:color w:val="auto"/>
                <w:kern w:val="2"/>
                <w:sz w:val="18"/>
                <w:szCs w:val="18"/>
                <w:highlight w:val="none"/>
                <w:lang w:val="en-US" w:eastAsia="zh-CN" w:bidi="ar-SA"/>
              </w:rPr>
              <w:t>截图），不提供不得分。</w:t>
            </w:r>
          </w:p>
        </w:tc>
        <w:tc>
          <w:tcPr>
            <w:tcW w:w="970" w:type="dxa"/>
            <w:noWrap w:val="0"/>
            <w:vAlign w:val="center"/>
          </w:tcPr>
          <w:p w14:paraId="68F13F26">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12BE36C8">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25</w:t>
            </w:r>
          </w:p>
        </w:tc>
        <w:tc>
          <w:tcPr>
            <w:tcW w:w="810" w:type="dxa"/>
            <w:noWrap w:val="0"/>
            <w:vAlign w:val="top"/>
          </w:tcPr>
          <w:p w14:paraId="413A4643">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553F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9B53D41">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4</w:t>
            </w:r>
          </w:p>
        </w:tc>
        <w:tc>
          <w:tcPr>
            <w:tcW w:w="968" w:type="dxa"/>
            <w:noWrap w:val="0"/>
            <w:vAlign w:val="center"/>
          </w:tcPr>
          <w:p w14:paraId="33AE3568">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人员结构</w:t>
            </w:r>
          </w:p>
        </w:tc>
        <w:tc>
          <w:tcPr>
            <w:tcW w:w="4202" w:type="dxa"/>
            <w:noWrap w:val="0"/>
            <w:vAlign w:val="top"/>
          </w:tcPr>
          <w:p w14:paraId="00BA57D8">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sz w:val="18"/>
                <w:szCs w:val="18"/>
                <w:highlight w:val="none"/>
              </w:rPr>
              <w:t>机构人员满足有关规定，至少</w:t>
            </w:r>
            <w:r>
              <w:rPr>
                <w:rFonts w:hint="eastAsia" w:ascii="Times New Roman" w:hAnsi="Times New Roman" w:eastAsia="方正仿宋_GBK" w:cs="Times New Roman"/>
                <w:color w:val="auto"/>
                <w:sz w:val="18"/>
                <w:szCs w:val="18"/>
                <w:highlight w:val="none"/>
                <w:lang w:val="en-US" w:eastAsia="zh-CN"/>
              </w:rPr>
              <w:t>4</w:t>
            </w:r>
            <w:r>
              <w:rPr>
                <w:rFonts w:hint="default" w:ascii="Times New Roman" w:hAnsi="Times New Roman" w:eastAsia="方正仿宋_GBK" w:cs="Times New Roman"/>
                <w:color w:val="auto"/>
                <w:sz w:val="18"/>
                <w:szCs w:val="18"/>
                <w:highlight w:val="none"/>
              </w:rPr>
              <w:t>名专职从业人员得基础分</w:t>
            </w:r>
            <w:r>
              <w:rPr>
                <w:rFonts w:hint="default" w:ascii="Times New Roman" w:hAnsi="Times New Roman" w:eastAsia="方正仿宋_GBK" w:cs="Times New Roman"/>
                <w:color w:val="auto"/>
                <w:sz w:val="18"/>
                <w:szCs w:val="18"/>
                <w:highlight w:val="none"/>
                <w:lang w:val="en-US" w:eastAsia="zh-CN"/>
              </w:rPr>
              <w:t>1</w:t>
            </w:r>
            <w:r>
              <w:rPr>
                <w:rFonts w:hint="eastAsia" w:ascii="Times New Roman" w:hAnsi="Times New Roman" w:eastAsia="方正仿宋_GBK" w:cs="Times New Roman"/>
                <w:color w:val="auto"/>
                <w:sz w:val="18"/>
                <w:szCs w:val="18"/>
                <w:highlight w:val="none"/>
                <w:lang w:val="en-US" w:eastAsia="zh-CN"/>
              </w:rPr>
              <w:t>0</w:t>
            </w:r>
            <w:r>
              <w:rPr>
                <w:rFonts w:hint="default" w:ascii="Times New Roman" w:hAnsi="Times New Roman" w:eastAsia="方正仿宋_GBK" w:cs="Times New Roman"/>
                <w:color w:val="auto"/>
                <w:sz w:val="18"/>
                <w:szCs w:val="18"/>
                <w:highlight w:val="none"/>
              </w:rPr>
              <w:t>分，（需提供</w:t>
            </w:r>
            <w:r>
              <w:rPr>
                <w:rFonts w:hint="default" w:ascii="Times New Roman" w:hAnsi="Times New Roman" w:eastAsia="方正仿宋_GBK" w:cs="Times New Roman"/>
                <w:color w:val="auto"/>
                <w:sz w:val="18"/>
                <w:szCs w:val="18"/>
                <w:highlight w:val="none"/>
                <w:lang w:val="en-US" w:eastAsia="zh-CN"/>
              </w:rPr>
              <w:t>劳动合同、</w:t>
            </w:r>
            <w:r>
              <w:rPr>
                <w:rFonts w:hint="default" w:ascii="Times New Roman" w:hAnsi="Times New Roman" w:eastAsia="方正仿宋_GBK" w:cs="Times New Roman"/>
                <w:color w:val="auto"/>
                <w:sz w:val="18"/>
                <w:szCs w:val="18"/>
                <w:highlight w:val="none"/>
              </w:rPr>
              <w:t>社保</w:t>
            </w:r>
            <w:r>
              <w:rPr>
                <w:rFonts w:hint="eastAsia" w:ascii="Times New Roman" w:hAnsi="Times New Roman" w:eastAsia="方正仿宋_GBK" w:cs="Times New Roman"/>
                <w:color w:val="auto"/>
                <w:sz w:val="18"/>
                <w:szCs w:val="18"/>
                <w:highlight w:val="none"/>
                <w:lang w:val="en-US" w:eastAsia="zh-CN"/>
              </w:rPr>
              <w:t>缴纳</w:t>
            </w:r>
            <w:r>
              <w:rPr>
                <w:rFonts w:hint="default" w:ascii="Times New Roman" w:hAnsi="Times New Roman" w:eastAsia="方正仿宋_GBK" w:cs="Times New Roman"/>
                <w:color w:val="auto"/>
                <w:sz w:val="18"/>
                <w:szCs w:val="18"/>
                <w:highlight w:val="none"/>
              </w:rPr>
              <w:t>证明材料、参加省级以上财政部门或省级以上财政部门委托的培训机构组织培训的培训证书或培训证明）</w:t>
            </w:r>
          </w:p>
        </w:tc>
        <w:tc>
          <w:tcPr>
            <w:tcW w:w="970" w:type="dxa"/>
            <w:noWrap w:val="0"/>
            <w:vAlign w:val="center"/>
          </w:tcPr>
          <w:p w14:paraId="53E12BE0">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4CC1651C">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10</w:t>
            </w:r>
          </w:p>
        </w:tc>
        <w:tc>
          <w:tcPr>
            <w:tcW w:w="810" w:type="dxa"/>
            <w:noWrap w:val="0"/>
            <w:vAlign w:val="top"/>
          </w:tcPr>
          <w:p w14:paraId="37841DF6">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3449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0B2B115">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5</w:t>
            </w:r>
          </w:p>
        </w:tc>
        <w:tc>
          <w:tcPr>
            <w:tcW w:w="968" w:type="dxa"/>
            <w:noWrap w:val="0"/>
            <w:vAlign w:val="center"/>
          </w:tcPr>
          <w:p w14:paraId="63582903">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荣誉能力</w:t>
            </w:r>
          </w:p>
        </w:tc>
        <w:tc>
          <w:tcPr>
            <w:tcW w:w="4202" w:type="dxa"/>
            <w:noWrap w:val="0"/>
            <w:vAlign w:val="top"/>
          </w:tcPr>
          <w:p w14:paraId="3554D4FA">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kern w:val="2"/>
                <w:sz w:val="18"/>
                <w:szCs w:val="18"/>
                <w:highlight w:val="none"/>
                <w:lang w:val="en-US" w:eastAsia="zh-CN" w:bidi="ar-SA"/>
              </w:rPr>
              <w:t>（</w:t>
            </w:r>
            <w:r>
              <w:rPr>
                <w:rFonts w:hint="eastAsia" w:ascii="Times New Roman" w:hAnsi="Times New Roman" w:eastAsia="方正仿宋_GBK" w:cs="Times New Roman"/>
                <w:color w:val="auto"/>
                <w:kern w:val="2"/>
                <w:sz w:val="18"/>
                <w:szCs w:val="18"/>
                <w:highlight w:val="none"/>
                <w:lang w:val="en-US" w:eastAsia="zh-CN" w:bidi="ar-SA"/>
              </w:rPr>
              <w:t>1</w:t>
            </w:r>
            <w:r>
              <w:rPr>
                <w:rFonts w:hint="default" w:ascii="Times New Roman" w:hAnsi="Times New Roman" w:eastAsia="方正仿宋_GBK" w:cs="Times New Roman"/>
                <w:color w:val="auto"/>
                <w:kern w:val="2"/>
                <w:sz w:val="18"/>
                <w:szCs w:val="18"/>
                <w:highlight w:val="none"/>
                <w:lang w:val="en-US" w:eastAsia="zh-CN" w:bidi="ar-SA"/>
              </w:rPr>
              <w:t>）申请人具有经认证的“AAA级诚信供应商”得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分；具有经认证的“AAA级诚信经营示范单位”得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分；具有经认证的“AAA级信用企业”得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分;具有经认证的“AAA级重服务守信用企业”得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分；具有经认证的“AAA级重合同守信用企业”得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分。本项最多得</w:t>
            </w:r>
            <w:r>
              <w:rPr>
                <w:rFonts w:hint="eastAsia" w:ascii="Times New Roman" w:hAnsi="Times New Roman" w:eastAsia="方正仿宋_GBK" w:cs="Times New Roman"/>
                <w:color w:val="auto"/>
                <w:kern w:val="2"/>
                <w:sz w:val="18"/>
                <w:szCs w:val="18"/>
                <w:highlight w:val="none"/>
                <w:lang w:val="en-US" w:eastAsia="zh-CN" w:bidi="ar-SA"/>
              </w:rPr>
              <w:t>20</w:t>
            </w:r>
            <w:r>
              <w:rPr>
                <w:rFonts w:hint="default" w:ascii="Times New Roman" w:hAnsi="Times New Roman" w:eastAsia="方正仿宋_GBK" w:cs="Times New Roman"/>
                <w:color w:val="auto"/>
                <w:kern w:val="2"/>
                <w:sz w:val="18"/>
                <w:szCs w:val="18"/>
                <w:highlight w:val="none"/>
                <w:lang w:val="en-US" w:eastAsia="zh-CN" w:bidi="ar-SA"/>
              </w:rPr>
              <w:t>分</w:t>
            </w:r>
            <w:r>
              <w:rPr>
                <w:rFonts w:hint="eastAsia" w:ascii="Times New Roman" w:hAnsi="Times New Roman" w:eastAsia="方正仿宋_GBK" w:cs="Times New Roman"/>
                <w:color w:val="auto"/>
                <w:kern w:val="2"/>
                <w:sz w:val="18"/>
                <w:szCs w:val="18"/>
                <w:highlight w:val="none"/>
                <w:lang w:val="en-US" w:eastAsia="zh-CN" w:bidi="ar-SA"/>
              </w:rPr>
              <w:t>；</w:t>
            </w:r>
            <w:r>
              <w:rPr>
                <w:rFonts w:hint="default" w:ascii="Times New Roman" w:hAnsi="Times New Roman" w:eastAsia="方正仿宋_GBK" w:cs="Times New Roman"/>
                <w:color w:val="auto"/>
                <w:kern w:val="2"/>
                <w:sz w:val="18"/>
                <w:szCs w:val="18"/>
                <w:highlight w:val="none"/>
                <w:lang w:val="en-US" w:eastAsia="zh-CN" w:bidi="ar-SA"/>
              </w:rPr>
              <w:t>（须提供证书复印件）</w:t>
            </w:r>
          </w:p>
          <w:p w14:paraId="527BCB6D">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eastAsia" w:ascii="Times New Roman" w:hAnsi="Times New Roman" w:eastAsia="方正仿宋_GBK" w:cs="Times New Roman"/>
                <w:color w:val="auto"/>
                <w:kern w:val="2"/>
                <w:sz w:val="18"/>
                <w:szCs w:val="18"/>
                <w:highlight w:val="none"/>
                <w:lang w:val="en-US" w:eastAsia="zh-CN" w:bidi="ar-SA"/>
              </w:rPr>
              <w:t>（2）申请人具有常年法律顾问团队。提供2025年度的得4分，提供2024-2025年度连续两年的得8分，提供2023-2025年连续三年的得12分。其余情况不得分（提供合同及职业律师证书复印件）。本项最高得12分。</w:t>
            </w:r>
          </w:p>
        </w:tc>
        <w:tc>
          <w:tcPr>
            <w:tcW w:w="970" w:type="dxa"/>
            <w:noWrap w:val="0"/>
            <w:vAlign w:val="center"/>
          </w:tcPr>
          <w:p w14:paraId="713497B0">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2C8C0482">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32</w:t>
            </w:r>
          </w:p>
        </w:tc>
        <w:tc>
          <w:tcPr>
            <w:tcW w:w="810" w:type="dxa"/>
            <w:noWrap w:val="0"/>
            <w:vAlign w:val="top"/>
          </w:tcPr>
          <w:p w14:paraId="3D96C3DB">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2898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199B397">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6</w:t>
            </w:r>
          </w:p>
        </w:tc>
        <w:tc>
          <w:tcPr>
            <w:tcW w:w="968" w:type="dxa"/>
            <w:noWrap w:val="0"/>
            <w:vAlign w:val="center"/>
          </w:tcPr>
          <w:p w14:paraId="38AF199B">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内控制度建设</w:t>
            </w:r>
          </w:p>
        </w:tc>
        <w:tc>
          <w:tcPr>
            <w:tcW w:w="4202" w:type="dxa"/>
            <w:noWrap w:val="0"/>
            <w:vAlign w:val="top"/>
          </w:tcPr>
          <w:p w14:paraId="6169D0A8">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建立</w:t>
            </w:r>
            <w:r>
              <w:rPr>
                <w:rFonts w:hint="eastAsia" w:ascii="Times New Roman" w:hAnsi="Times New Roman" w:eastAsia="方正仿宋_GBK" w:cs="Times New Roman"/>
                <w:color w:val="auto"/>
                <w:kern w:val="2"/>
                <w:sz w:val="18"/>
                <w:szCs w:val="18"/>
                <w:lang w:val="en-US" w:eastAsia="zh-CN" w:bidi="ar-SA"/>
              </w:rPr>
              <w:t>完整的项目整体服务方案，至少包含：</w:t>
            </w:r>
          </w:p>
          <w:p w14:paraId="747F8B5C">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1.采购代理</w:t>
            </w:r>
            <w:r>
              <w:rPr>
                <w:rFonts w:hint="eastAsia" w:ascii="Times New Roman" w:hAnsi="Times New Roman" w:eastAsia="方正仿宋_GBK" w:cs="Times New Roman"/>
                <w:color w:val="auto"/>
                <w:kern w:val="2"/>
                <w:sz w:val="18"/>
                <w:szCs w:val="18"/>
                <w:lang w:val="en-US" w:eastAsia="zh-CN" w:bidi="ar-SA"/>
              </w:rPr>
              <w:t>准备、招标、终结阶段方案，</w:t>
            </w:r>
            <w:r>
              <w:rPr>
                <w:rFonts w:hint="default" w:ascii="Times New Roman" w:hAnsi="Times New Roman" w:eastAsia="方正仿宋_GBK" w:cs="Times New Roman"/>
                <w:color w:val="auto"/>
                <w:kern w:val="2"/>
                <w:sz w:val="18"/>
                <w:szCs w:val="18"/>
                <w:lang w:val="en-US" w:eastAsia="zh-CN" w:bidi="ar-SA"/>
              </w:rPr>
              <w:t>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20BCFA77">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2.</w:t>
            </w:r>
            <w:r>
              <w:rPr>
                <w:rFonts w:hint="eastAsia" w:ascii="Times New Roman" w:hAnsi="Times New Roman" w:eastAsia="方正仿宋_GBK" w:cs="Times New Roman"/>
                <w:color w:val="auto"/>
                <w:kern w:val="2"/>
                <w:sz w:val="18"/>
                <w:szCs w:val="18"/>
                <w:lang w:val="en-US" w:eastAsia="zh-CN" w:bidi="ar-SA"/>
              </w:rPr>
              <w:t>服务工作计划、进度计划安排及各环节工作目标、工作程序衔接，</w:t>
            </w:r>
            <w:r>
              <w:rPr>
                <w:rFonts w:hint="default" w:ascii="Times New Roman" w:hAnsi="Times New Roman" w:eastAsia="方正仿宋_GBK" w:cs="Times New Roman"/>
                <w:color w:val="auto"/>
                <w:kern w:val="2"/>
                <w:sz w:val="18"/>
                <w:szCs w:val="18"/>
                <w:lang w:val="en-US" w:eastAsia="zh-CN" w:bidi="ar-SA"/>
              </w:rPr>
              <w:t>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207CFBA7">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3.</w:t>
            </w:r>
            <w:r>
              <w:rPr>
                <w:rFonts w:hint="eastAsia" w:ascii="Times New Roman" w:hAnsi="Times New Roman" w:eastAsia="方正仿宋_GBK" w:cs="Times New Roman"/>
                <w:color w:val="auto"/>
                <w:kern w:val="2"/>
                <w:sz w:val="18"/>
                <w:szCs w:val="18"/>
                <w:lang w:val="en-US" w:eastAsia="zh-CN" w:bidi="ar-SA"/>
              </w:rPr>
              <w:t>代理机构</w:t>
            </w:r>
            <w:r>
              <w:rPr>
                <w:rFonts w:hint="default" w:ascii="Times New Roman" w:hAnsi="Times New Roman" w:eastAsia="方正仿宋_GBK" w:cs="Times New Roman"/>
                <w:color w:val="auto"/>
                <w:kern w:val="2"/>
                <w:sz w:val="18"/>
                <w:szCs w:val="18"/>
                <w:lang w:val="en-US" w:eastAsia="zh-CN" w:bidi="ar-SA"/>
              </w:rPr>
              <w:t>内控制度和质量管理制度，最高得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4A8547B0">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4.各阶段工作质量保障措施，最高得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36CB9F2C">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5.优质服务措施，最高得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14A32881">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6.围标串标防范措施，最高得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5DCC6EF7">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7.廉政保密措施，最高得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26C36BF0">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8.保密措施，最高得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149AB194">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经评委对以上进行综合分析比较评分，由评委在0-</w:t>
            </w:r>
            <w:r>
              <w:rPr>
                <w:rFonts w:hint="eastAsia" w:ascii="Times New Roman" w:hAnsi="Times New Roman" w:eastAsia="方正仿宋_GBK" w:cs="Times New Roman"/>
                <w:color w:val="auto"/>
                <w:kern w:val="2"/>
                <w:sz w:val="18"/>
                <w:szCs w:val="18"/>
                <w:lang w:val="en-US" w:eastAsia="zh-CN" w:bidi="ar-SA"/>
              </w:rPr>
              <w:t>8</w:t>
            </w:r>
            <w:r>
              <w:rPr>
                <w:rFonts w:hint="default" w:ascii="Times New Roman" w:hAnsi="Times New Roman" w:eastAsia="方正仿宋_GBK" w:cs="Times New Roman"/>
                <w:color w:val="auto"/>
                <w:kern w:val="2"/>
                <w:sz w:val="18"/>
                <w:szCs w:val="18"/>
                <w:lang w:val="en-US" w:eastAsia="zh-CN" w:bidi="ar-SA"/>
              </w:rPr>
              <w:t>分之间赋分，完全包含以上内容且无缺陷或无不足的最高得</w:t>
            </w:r>
            <w:r>
              <w:rPr>
                <w:rFonts w:hint="eastAsia" w:ascii="Times New Roman" w:hAnsi="Times New Roman" w:eastAsia="方正仿宋_GBK" w:cs="Times New Roman"/>
                <w:color w:val="auto"/>
                <w:kern w:val="2"/>
                <w:sz w:val="18"/>
                <w:szCs w:val="18"/>
                <w:lang w:val="en-US" w:eastAsia="zh-CN" w:bidi="ar-SA"/>
              </w:rPr>
              <w:t>8</w:t>
            </w:r>
            <w:r>
              <w:rPr>
                <w:rFonts w:hint="default" w:ascii="Times New Roman" w:hAnsi="Times New Roman" w:eastAsia="方正仿宋_GBK" w:cs="Times New Roman"/>
                <w:color w:val="auto"/>
                <w:kern w:val="2"/>
                <w:sz w:val="18"/>
                <w:szCs w:val="18"/>
                <w:lang w:val="en-US" w:eastAsia="zh-CN" w:bidi="ar-SA"/>
              </w:rPr>
              <w:t>分。</w:t>
            </w:r>
          </w:p>
          <w:p w14:paraId="59D7EB6B">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缺陷或不足是指：不适用项目实际情况、凭空编造、内容前后矛盾、逻辑错误、涉及的法律法规错误的情形。</w:t>
            </w:r>
          </w:p>
        </w:tc>
        <w:tc>
          <w:tcPr>
            <w:tcW w:w="970" w:type="dxa"/>
            <w:noWrap w:val="0"/>
            <w:vAlign w:val="center"/>
          </w:tcPr>
          <w:p w14:paraId="5A55A259">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58F6CF7D">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8</w:t>
            </w:r>
          </w:p>
        </w:tc>
        <w:tc>
          <w:tcPr>
            <w:tcW w:w="810" w:type="dxa"/>
            <w:noWrap w:val="0"/>
            <w:vAlign w:val="top"/>
          </w:tcPr>
          <w:p w14:paraId="25FDFABB">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5A04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CA9995E">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7</w:t>
            </w:r>
          </w:p>
        </w:tc>
        <w:tc>
          <w:tcPr>
            <w:tcW w:w="968" w:type="dxa"/>
            <w:noWrap w:val="0"/>
            <w:vAlign w:val="center"/>
          </w:tcPr>
          <w:p w14:paraId="0913D667">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风险管控措施</w:t>
            </w:r>
          </w:p>
        </w:tc>
        <w:tc>
          <w:tcPr>
            <w:tcW w:w="4202" w:type="dxa"/>
            <w:noWrap w:val="0"/>
            <w:vAlign w:val="top"/>
          </w:tcPr>
          <w:p w14:paraId="534CFE23">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建立完备的风险管控措施：</w:t>
            </w:r>
          </w:p>
          <w:p w14:paraId="2FA741E7">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w:t>
            </w:r>
            <w:r>
              <w:rPr>
                <w:rFonts w:hint="eastAsia" w:ascii="Times New Roman" w:hAnsi="Times New Roman" w:eastAsia="方正仿宋_GBK" w:cs="Times New Roman"/>
                <w:color w:val="auto"/>
                <w:kern w:val="2"/>
                <w:sz w:val="18"/>
                <w:szCs w:val="18"/>
                <w:lang w:val="en-US" w:eastAsia="zh-CN" w:bidi="ar-SA"/>
              </w:rPr>
              <w:t>采购代理</w:t>
            </w:r>
            <w:r>
              <w:rPr>
                <w:rFonts w:hint="default" w:ascii="Times New Roman" w:hAnsi="Times New Roman" w:eastAsia="方正仿宋_GBK" w:cs="Times New Roman"/>
                <w:color w:val="auto"/>
                <w:kern w:val="2"/>
                <w:sz w:val="18"/>
                <w:szCs w:val="18"/>
                <w:lang w:val="en-US" w:eastAsia="zh-CN" w:bidi="ar-SA"/>
              </w:rPr>
              <w:t>项目重点难点的合理化建议，最高得2分；</w:t>
            </w:r>
          </w:p>
          <w:p w14:paraId="14A83C9E">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2.制度保障的合理化</w:t>
            </w:r>
            <w:r>
              <w:rPr>
                <w:rFonts w:hint="eastAsia" w:ascii="Times New Roman" w:hAnsi="Times New Roman" w:eastAsia="方正仿宋_GBK" w:cs="Times New Roman"/>
                <w:color w:val="auto"/>
                <w:kern w:val="2"/>
                <w:sz w:val="18"/>
                <w:szCs w:val="18"/>
                <w:lang w:val="en-US" w:eastAsia="zh-CN" w:bidi="ar-SA"/>
              </w:rPr>
              <w:t>措施</w:t>
            </w:r>
            <w:r>
              <w:rPr>
                <w:rFonts w:hint="default" w:ascii="Times New Roman" w:hAnsi="Times New Roman" w:eastAsia="方正仿宋_GBK" w:cs="Times New Roman"/>
                <w:color w:val="auto"/>
                <w:kern w:val="2"/>
                <w:sz w:val="18"/>
                <w:szCs w:val="18"/>
                <w:lang w:val="en-US" w:eastAsia="zh-CN" w:bidi="ar-SA"/>
              </w:rPr>
              <w:t>，最高得2分；</w:t>
            </w:r>
          </w:p>
          <w:p w14:paraId="29E95C5B">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3.质疑处理流程规范、有效，最高得2分；</w:t>
            </w:r>
          </w:p>
          <w:p w14:paraId="29C8F8FE">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4.进度安排的合理化</w:t>
            </w:r>
            <w:r>
              <w:rPr>
                <w:rFonts w:hint="eastAsia" w:ascii="Times New Roman" w:hAnsi="Times New Roman" w:eastAsia="方正仿宋_GBK" w:cs="Times New Roman"/>
                <w:color w:val="auto"/>
                <w:kern w:val="2"/>
                <w:sz w:val="18"/>
                <w:szCs w:val="18"/>
                <w:lang w:val="en-US" w:eastAsia="zh-CN" w:bidi="ar-SA"/>
              </w:rPr>
              <w:t>措施</w:t>
            </w:r>
            <w:r>
              <w:rPr>
                <w:rFonts w:hint="default" w:ascii="Times New Roman" w:hAnsi="Times New Roman" w:eastAsia="方正仿宋_GBK" w:cs="Times New Roman"/>
                <w:color w:val="auto"/>
                <w:kern w:val="2"/>
                <w:sz w:val="18"/>
                <w:szCs w:val="18"/>
                <w:lang w:val="en-US" w:eastAsia="zh-CN" w:bidi="ar-SA"/>
              </w:rPr>
              <w:t>，最高得2分；</w:t>
            </w:r>
          </w:p>
          <w:p w14:paraId="65880716">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lang w:val="en-US" w:eastAsia="zh-CN"/>
              </w:rPr>
            </w:pPr>
            <w:r>
              <w:rPr>
                <w:rFonts w:hint="default" w:ascii="Times New Roman" w:hAnsi="Times New Roman" w:eastAsia="方正仿宋_GBK" w:cs="Times New Roman"/>
                <w:color w:val="auto"/>
                <w:kern w:val="2"/>
                <w:sz w:val="18"/>
                <w:szCs w:val="18"/>
                <w:lang w:val="en-US" w:eastAsia="zh-CN" w:bidi="ar-SA"/>
              </w:rPr>
              <w:t>5.</w:t>
            </w:r>
            <w:r>
              <w:rPr>
                <w:rFonts w:hint="eastAsia" w:ascii="Times New Roman" w:hAnsi="Times New Roman" w:eastAsia="方正仿宋_GBK" w:cs="Times New Roman"/>
                <w:color w:val="auto"/>
                <w:kern w:val="2"/>
                <w:sz w:val="18"/>
                <w:szCs w:val="18"/>
                <w:lang w:val="en-US" w:eastAsia="zh-CN" w:bidi="ar-SA"/>
              </w:rPr>
              <w:t>采购招标代理</w:t>
            </w:r>
            <w:r>
              <w:rPr>
                <w:rFonts w:hint="default" w:ascii="Times New Roman" w:hAnsi="Times New Roman" w:eastAsia="方正仿宋_GBK" w:cs="Times New Roman"/>
                <w:color w:val="auto"/>
                <w:kern w:val="2"/>
                <w:sz w:val="18"/>
                <w:szCs w:val="18"/>
                <w:lang w:val="en-US" w:eastAsia="zh-CN" w:bidi="ar-SA"/>
              </w:rPr>
              <w:t>质量保证的合理化</w:t>
            </w:r>
            <w:r>
              <w:rPr>
                <w:rFonts w:hint="eastAsia" w:ascii="Times New Roman" w:hAnsi="Times New Roman" w:eastAsia="方正仿宋_GBK" w:cs="Times New Roman"/>
                <w:color w:val="auto"/>
                <w:kern w:val="2"/>
                <w:sz w:val="18"/>
                <w:szCs w:val="18"/>
                <w:lang w:val="en-US" w:eastAsia="zh-CN" w:bidi="ar-SA"/>
              </w:rPr>
              <w:t>措施</w:t>
            </w:r>
            <w:r>
              <w:rPr>
                <w:rFonts w:hint="default" w:ascii="Times New Roman" w:hAnsi="Times New Roman" w:eastAsia="方正仿宋_GBK" w:cs="Times New Roman"/>
                <w:color w:val="auto"/>
                <w:kern w:val="2"/>
                <w:sz w:val="18"/>
                <w:szCs w:val="18"/>
                <w:lang w:val="en-US" w:eastAsia="zh-CN" w:bidi="ar-SA"/>
              </w:rPr>
              <w:t>，最高得2分。</w:t>
            </w:r>
          </w:p>
          <w:p w14:paraId="7D29196C">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经评委对以上进行综合分析比较评分，由评委在0-10分之间赋分，完全包含以上内容且无缺陷或无不足的最高得10分。</w:t>
            </w:r>
          </w:p>
          <w:p w14:paraId="6BCDAD93">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缺陷或不足是指：不适用项目实际情况、凭空编造、内容前后矛盾、逻辑错误、涉及的法律法规错误的情形。</w:t>
            </w:r>
          </w:p>
        </w:tc>
        <w:tc>
          <w:tcPr>
            <w:tcW w:w="970" w:type="dxa"/>
            <w:noWrap w:val="0"/>
            <w:vAlign w:val="center"/>
          </w:tcPr>
          <w:p w14:paraId="410EACD4">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0B9F60E4">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10</w:t>
            </w:r>
          </w:p>
        </w:tc>
        <w:tc>
          <w:tcPr>
            <w:tcW w:w="810" w:type="dxa"/>
            <w:noWrap w:val="0"/>
            <w:vAlign w:val="top"/>
          </w:tcPr>
          <w:p w14:paraId="7882A905">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bl>
    <w:p w14:paraId="20466D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529B0F"/>
    <w:multiLevelType w:val="singleLevel"/>
    <w:tmpl w:val="B6529B0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774BD1"/>
    <w:rsid w:val="1C774BD1"/>
    <w:rsid w:val="58066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仿宋体"/>
      <w:kern w:val="0"/>
      <w:sz w:val="32"/>
      <w:szCs w:val="32"/>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1264</Words>
  <Characters>1355</Characters>
  <Lines>0</Lines>
  <Paragraphs>0</Paragraphs>
  <TotalTime>0</TotalTime>
  <ScaleCrop>false</ScaleCrop>
  <LinksUpToDate>false</LinksUpToDate>
  <CharactersWithSpaces>1355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2025-09-19T02:37:00Z</dcterms:created>
  <dc:creator>三叔</dc:creator>
  <cp:lastModifiedBy>成河</cp:lastModifiedBy>
  <dcterms:modified xsi:type="dcterms:W3CDTF">2025-09-19T02:42:18Z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5133FDFE6768450CA6CA99D5E2F17B47_13</vt:lpwstr>
  </property>
  <property fmtid="{D5CDD505-2E9C-101B-9397-08002B2CF9AE}" pid="4" name="KSOTemplateDocerSaveRecord">
    <vt:lpwstr>eyJoZGlkIjoiZDJiZTY4MWE2YTU0NzJkYThjN2EzNjk1OWI5NmExZWEiLCJ1c2VySWQiOiI5ODI3MTIzMjQifQ==</vt:lpwstr>
  </property>
</Properties>
</file>